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4D26" w14:textId="77777777" w:rsidR="0060683F" w:rsidRDefault="0060683F" w:rsidP="003848D8">
      <w:pPr>
        <w:pStyle w:val="Heading10"/>
        <w:rPr>
          <w:rStyle w:val="Emphasis"/>
          <w:rtl/>
        </w:rPr>
      </w:pPr>
    </w:p>
    <w:p w14:paraId="0239791C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2CB02D30" wp14:editId="7DC265C6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7D387" w14:textId="77777777" w:rsidR="000D085B" w:rsidRDefault="000D085B" w:rsidP="000D085B">
      <w:pPr>
        <w:rPr>
          <w:rStyle w:val="Emphasis"/>
          <w:rtl/>
        </w:rPr>
      </w:pPr>
    </w:p>
    <w:p w14:paraId="65AAD043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5458E0F9" w14:textId="70BBA5DE" w:rsidR="00DC6EC0" w:rsidRPr="00DC6EC0" w:rsidRDefault="00F842AD" w:rsidP="00DC6EC0">
      <w:pPr>
        <w:rPr>
          <w:rFonts w:cs="2  Badr"/>
          <w:sz w:val="36"/>
          <w:szCs w:val="36"/>
          <w:rtl/>
        </w:rPr>
      </w:pPr>
      <w:r w:rsidRPr="00DC6EC0">
        <w:rPr>
          <w:rStyle w:val="Emphasis"/>
          <w:rFonts w:cs="2  Badr" w:hint="cs"/>
          <w:color w:val="FF0000"/>
          <w:sz w:val="36"/>
          <w:szCs w:val="36"/>
          <w:rtl/>
        </w:rPr>
        <w:t>موضوع:</w:t>
      </w:r>
      <w:r w:rsidRPr="00DC6EC0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2538B9" w:rsidRPr="00DC6EC0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DC6EC0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2538B9" w:rsidRPr="00DC6EC0">
        <w:rPr>
          <w:rFonts w:cs="2  Badr"/>
          <w:sz w:val="36"/>
          <w:szCs w:val="36"/>
          <w:rtl/>
        </w:rPr>
        <w:t>حج</w:t>
      </w:r>
      <w:r w:rsidR="002538B9" w:rsidRPr="00DC6EC0">
        <w:rPr>
          <w:rFonts w:cs="2  Badr" w:hint="cs"/>
          <w:sz w:val="36"/>
          <w:szCs w:val="36"/>
          <w:rtl/>
        </w:rPr>
        <w:t>ی</w:t>
      </w:r>
      <w:r w:rsidR="002538B9" w:rsidRPr="00DC6EC0">
        <w:rPr>
          <w:rFonts w:cs="2  Badr" w:hint="eastAsia"/>
          <w:sz w:val="36"/>
          <w:szCs w:val="36"/>
          <w:rtl/>
        </w:rPr>
        <w:t>ة</w:t>
      </w:r>
      <w:proofErr w:type="spellEnd"/>
      <w:r w:rsidR="002538B9" w:rsidRPr="00DC6EC0">
        <w:rPr>
          <w:rFonts w:cs="2  Badr"/>
          <w:sz w:val="36"/>
          <w:szCs w:val="36"/>
          <w:rtl/>
        </w:rPr>
        <w:t xml:space="preserve"> خبر </w:t>
      </w:r>
      <w:proofErr w:type="spellStart"/>
      <w:r w:rsidR="002538B9" w:rsidRPr="00DC6EC0">
        <w:rPr>
          <w:rFonts w:cs="2  Badr"/>
          <w:sz w:val="36"/>
          <w:szCs w:val="36"/>
          <w:rtl/>
        </w:rPr>
        <w:t>الواحد</w:t>
      </w:r>
      <w:proofErr w:type="spellEnd"/>
      <w:r w:rsidR="00724537" w:rsidRPr="00DC6EC0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2538B9" w:rsidRPr="00DC6EC0">
        <w:rPr>
          <w:rFonts w:cs="2  Badr"/>
          <w:sz w:val="36"/>
          <w:szCs w:val="36"/>
          <w:rtl/>
        </w:rPr>
        <w:t>ادلة</w:t>
      </w:r>
      <w:proofErr w:type="spellEnd"/>
      <w:r w:rsidR="002538B9" w:rsidRPr="00DC6EC0">
        <w:rPr>
          <w:rFonts w:cs="2  Badr"/>
          <w:sz w:val="36"/>
          <w:szCs w:val="36"/>
          <w:rtl/>
        </w:rPr>
        <w:t xml:space="preserve"> </w:t>
      </w:r>
      <w:proofErr w:type="spellStart"/>
      <w:r w:rsidR="002538B9" w:rsidRPr="00DC6EC0">
        <w:rPr>
          <w:rFonts w:cs="2  Badr"/>
          <w:sz w:val="36"/>
          <w:szCs w:val="36"/>
          <w:rtl/>
        </w:rPr>
        <w:t>القائل</w:t>
      </w:r>
      <w:r w:rsidR="002538B9" w:rsidRPr="00DC6EC0">
        <w:rPr>
          <w:rFonts w:cs="2  Badr" w:hint="cs"/>
          <w:sz w:val="36"/>
          <w:szCs w:val="36"/>
          <w:rtl/>
        </w:rPr>
        <w:t>ی</w:t>
      </w:r>
      <w:r w:rsidR="002538B9" w:rsidRPr="00DC6EC0">
        <w:rPr>
          <w:rFonts w:cs="2  Badr" w:hint="eastAsia"/>
          <w:sz w:val="36"/>
          <w:szCs w:val="36"/>
          <w:rtl/>
        </w:rPr>
        <w:t>ن</w:t>
      </w:r>
      <w:proofErr w:type="spellEnd"/>
      <w:r w:rsidR="002538B9" w:rsidRPr="00DC6EC0">
        <w:rPr>
          <w:rFonts w:cs="2  Badr"/>
          <w:sz w:val="36"/>
          <w:szCs w:val="36"/>
          <w:rtl/>
        </w:rPr>
        <w:t xml:space="preserve"> </w:t>
      </w:r>
      <w:proofErr w:type="spellStart"/>
      <w:r w:rsidR="002538B9" w:rsidRPr="00DC6EC0">
        <w:rPr>
          <w:rFonts w:cs="2  Badr"/>
          <w:sz w:val="36"/>
          <w:szCs w:val="36"/>
          <w:rtl/>
        </w:rPr>
        <w:t>بحج</w:t>
      </w:r>
      <w:r w:rsidR="002538B9" w:rsidRPr="00DC6EC0">
        <w:rPr>
          <w:rFonts w:cs="2  Badr" w:hint="cs"/>
          <w:sz w:val="36"/>
          <w:szCs w:val="36"/>
          <w:rtl/>
        </w:rPr>
        <w:t>ی</w:t>
      </w:r>
      <w:r w:rsidR="002538B9" w:rsidRPr="00DC6EC0">
        <w:rPr>
          <w:rFonts w:cs="2  Badr" w:hint="eastAsia"/>
          <w:sz w:val="36"/>
          <w:szCs w:val="36"/>
          <w:rtl/>
        </w:rPr>
        <w:t>ة</w:t>
      </w:r>
      <w:proofErr w:type="spellEnd"/>
      <w:r w:rsidR="002538B9" w:rsidRPr="00DC6EC0">
        <w:rPr>
          <w:rFonts w:cs="2  Badr"/>
          <w:sz w:val="36"/>
          <w:szCs w:val="36"/>
          <w:rtl/>
        </w:rPr>
        <w:t xml:space="preserve"> خبر </w:t>
      </w:r>
      <w:proofErr w:type="spellStart"/>
      <w:r w:rsidR="002538B9" w:rsidRPr="00DC6EC0">
        <w:rPr>
          <w:rFonts w:cs="2  Badr"/>
          <w:sz w:val="36"/>
          <w:szCs w:val="36"/>
          <w:rtl/>
        </w:rPr>
        <w:t>الواحد</w:t>
      </w:r>
      <w:proofErr w:type="spellEnd"/>
      <w:r w:rsidR="002538B9" w:rsidRPr="00DC6EC0">
        <w:rPr>
          <w:rFonts w:cs="2  Badr"/>
          <w:sz w:val="36"/>
          <w:szCs w:val="36"/>
          <w:rtl/>
        </w:rPr>
        <w:t xml:space="preserve"> (</w:t>
      </w:r>
      <w:proofErr w:type="spellStart"/>
      <w:r w:rsidR="002538B9" w:rsidRPr="00DC6EC0">
        <w:rPr>
          <w:rFonts w:cs="2  Badr"/>
          <w:sz w:val="36"/>
          <w:szCs w:val="36"/>
          <w:rtl/>
        </w:rPr>
        <w:t>الس</w:t>
      </w:r>
      <w:r w:rsidR="002538B9" w:rsidRPr="00DC6EC0">
        <w:rPr>
          <w:rFonts w:cs="2  Badr" w:hint="cs"/>
          <w:sz w:val="36"/>
          <w:szCs w:val="36"/>
          <w:rtl/>
        </w:rPr>
        <w:t>ی</w:t>
      </w:r>
      <w:r w:rsidR="002538B9" w:rsidRPr="00DC6EC0">
        <w:rPr>
          <w:rFonts w:cs="2  Badr" w:hint="eastAsia"/>
          <w:sz w:val="36"/>
          <w:szCs w:val="36"/>
          <w:rtl/>
        </w:rPr>
        <w:t>رة</w:t>
      </w:r>
      <w:proofErr w:type="spellEnd"/>
      <w:r w:rsidR="002538B9" w:rsidRPr="00DC6EC0">
        <w:rPr>
          <w:rFonts w:cs="2  Badr"/>
          <w:sz w:val="36"/>
          <w:szCs w:val="36"/>
          <w:rtl/>
        </w:rPr>
        <w:t>)</w:t>
      </w:r>
      <w:r w:rsidR="001B6799" w:rsidRPr="00DC6EC0">
        <w:rPr>
          <w:rFonts w:cs="2  Badr" w:hint="cs"/>
          <w:sz w:val="36"/>
          <w:szCs w:val="36"/>
          <w:rtl/>
        </w:rPr>
        <w:t xml:space="preserve"> </w:t>
      </w:r>
    </w:p>
    <w:p w14:paraId="11573678" w14:textId="77777777" w:rsidR="00DC6EC0" w:rsidRDefault="00DC6EC0" w:rsidP="00DC6EC0">
      <w:pPr>
        <w:spacing w:after="160" w:line="259" w:lineRule="auto"/>
        <w:jc w:val="both"/>
        <w:rPr>
          <w:rFonts w:ascii="Calibri" w:hAnsi="Calibri" w:cs="2  Badr"/>
          <w:b/>
          <w:bCs/>
          <w:color w:val="FF0000"/>
          <w:sz w:val="36"/>
          <w:szCs w:val="36"/>
          <w:rtl/>
        </w:rPr>
      </w:pPr>
    </w:p>
    <w:p w14:paraId="0BA5A342" w14:textId="583F5971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b/>
          <w:bCs/>
          <w:color w:val="FF0000"/>
          <w:sz w:val="36"/>
          <w:szCs w:val="36"/>
          <w:rtl/>
        </w:rPr>
      </w:pPr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کلام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هامش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الکفایة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</w:p>
    <w:p w14:paraId="6C74C2FD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الکلمة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الأولی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الآخوند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قال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هامش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الکفایة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بعدم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صلاحیة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کل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لرفع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به عن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الآخر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لکونه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مستلزما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للدور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فتصل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النوبة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الی الاصل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مقتضی الاصل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المقام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هو استصحاب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الثابتة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قبل نزول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لکن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قد رد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الآخوند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قال: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الاستدلال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باستصحاب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غیر صحیح و یعلم فساد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التمسک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بالاستصحاب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ملاحظة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ثلاثة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امور:</w:t>
      </w:r>
    </w:p>
    <w:p w14:paraId="5669491A" w14:textId="15DE94CA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الاستصحاب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لایجری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الشبهات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الکلیة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الوجودیة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لتعارض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استصحاب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الجعل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المجعول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r w:rsidRPr="00DC6EC0">
        <w:rPr>
          <w:rFonts w:ascii="Calibri" w:hAnsi="Calibri" w:cs="2  Badr"/>
          <w:sz w:val="36"/>
          <w:szCs w:val="36"/>
          <w:rtl/>
        </w:rPr>
        <w:t xml:space="preserve">و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ينبغي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تقديم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بيان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لتوضيح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معارضة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استصحاب عدم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الجعل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بقاء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المجعول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هو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أنه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كان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الأزل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ثلاث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اعدام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زمانية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لأن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</w:t>
      </w:r>
      <w:r w:rsidRPr="00DC6EC0">
        <w:rPr>
          <w:rFonts w:ascii="Calibri" w:hAnsi="Calibri" w:cs="2  Badr" w:hint="eastAsia"/>
          <w:sz w:val="36"/>
          <w:szCs w:val="36"/>
          <w:rtl/>
        </w:rPr>
        <w:t>جعل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الأزل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قبل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الشريعة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جعل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أحكامها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كما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أنه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يجعل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الأزل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بعد</w:t>
      </w:r>
      <w:r>
        <w:rPr>
          <w:rFonts w:ascii="Calibri" w:hAnsi="Calibri" w:cs="2  Badr" w:hint="cs"/>
          <w:sz w:val="36"/>
          <w:szCs w:val="36"/>
          <w:rtl/>
        </w:rPr>
        <w:t xml:space="preserve"> جعل احکام</w:t>
      </w:r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الشريعة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قبل نزول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الآيات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هكذا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إنه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يجعل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eastAsia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الأزل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بعد</w:t>
      </w:r>
      <w:r>
        <w:rPr>
          <w:rFonts w:ascii="Calibri" w:hAnsi="Calibri" w:cs="2  Badr" w:hint="cs"/>
          <w:sz w:val="36"/>
          <w:szCs w:val="36"/>
          <w:rtl/>
        </w:rPr>
        <w:t xml:space="preserve"> جعل احکام</w:t>
      </w:r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الشريعة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بعد نزول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الآيات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فإن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يجعل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الأزل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أي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زمان من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هذه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الأزمنة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نحن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نقطع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بأن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عدم جعل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الأزل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قبل وجود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الشريعة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يكن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منقوضا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كما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أننا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نقطع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بأن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عدم جعل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الأزل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بعد</w:t>
      </w:r>
      <w:r>
        <w:rPr>
          <w:rFonts w:ascii="Calibri" w:hAnsi="Calibri" w:cs="2  Badr" w:hint="cs"/>
          <w:sz w:val="36"/>
          <w:szCs w:val="36"/>
          <w:rtl/>
        </w:rPr>
        <w:t xml:space="preserve"> جعل احکام</w:t>
      </w:r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lastRenderedPageBreak/>
        <w:t>الشريعة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قبل نزول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الآيات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كان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منقوضا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eastAsia"/>
          <w:sz w:val="36"/>
          <w:szCs w:val="36"/>
          <w:rtl/>
        </w:rPr>
        <w:t>أننا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نشك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أن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عدم جعل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بعد نزول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الآيات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هل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يكون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منقوضا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أو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لا؟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فمقتضى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استصحاب عدم جعل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الأزل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بعد</w:t>
      </w:r>
      <w:r>
        <w:rPr>
          <w:rFonts w:ascii="Calibri" w:hAnsi="Calibri" w:cs="2  Badr" w:hint="cs"/>
          <w:sz w:val="36"/>
          <w:szCs w:val="36"/>
          <w:rtl/>
        </w:rPr>
        <w:t xml:space="preserve"> جعل احکام</w:t>
      </w:r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الشريعة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بعد نزول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الآيات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هو عدم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خبر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الواحد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بعد نزول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الآ</w:t>
      </w:r>
      <w:r w:rsidRPr="00DC6EC0">
        <w:rPr>
          <w:rFonts w:ascii="Calibri" w:hAnsi="Calibri" w:cs="2  Badr" w:hint="cs"/>
          <w:sz w:val="36"/>
          <w:szCs w:val="36"/>
          <w:rtl/>
        </w:rPr>
        <w:t>ی</w:t>
      </w:r>
      <w:r w:rsidRPr="00DC6EC0">
        <w:rPr>
          <w:rFonts w:ascii="Calibri" w:hAnsi="Calibri" w:cs="2  Badr" w:hint="eastAsia"/>
          <w:sz w:val="36"/>
          <w:szCs w:val="36"/>
          <w:rtl/>
        </w:rPr>
        <w:t>ات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لكنه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يعارض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استصحاب بقاء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المجعول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(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أي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بقاء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الحجية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) و لذا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يتعارض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كل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الاستصح</w:t>
      </w:r>
      <w:r w:rsidRPr="00DC6EC0">
        <w:rPr>
          <w:rFonts w:ascii="Calibri" w:hAnsi="Calibri" w:cs="2  Badr" w:hint="eastAsia"/>
          <w:sz w:val="36"/>
          <w:szCs w:val="36"/>
          <w:rtl/>
        </w:rPr>
        <w:t>ابين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الآخر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فيتساقطان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على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الأساس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قد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أنكر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السيد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الخوئي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(قدس سره)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الاستصحاب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في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الشبهات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الحكمية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الكلية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/>
          <w:sz w:val="36"/>
          <w:szCs w:val="36"/>
          <w:rtl/>
        </w:rPr>
        <w:t>الوجودية</w:t>
      </w:r>
      <w:proofErr w:type="spellEnd"/>
      <w:r w:rsidRPr="00DC6EC0">
        <w:rPr>
          <w:rFonts w:ascii="Calibri" w:hAnsi="Calibri" w:cs="2  Badr"/>
          <w:sz w:val="36"/>
          <w:szCs w:val="36"/>
          <w:rtl/>
        </w:rPr>
        <w:t>.</w:t>
      </w:r>
    </w:p>
    <w:p w14:paraId="20263CF2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ان دلیل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الاستصحاب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هو خبر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الواحد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 اول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فلایصح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الاستدلال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بالاستصحاب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لأجل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اثبات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>.</w:t>
      </w:r>
    </w:p>
    <w:p w14:paraId="75FCC2DD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الثالث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ان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امضاء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فیما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ردعها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لکن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ذلک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عنها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أحرزت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حینئذ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الواضح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الاستصحاب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یجری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فیما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یوجد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لدینا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یقین سابق و شک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لاحق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لکن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مقطوعة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عندنا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حیث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انما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تثبت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فرض احراز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فإن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أحرز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ذلک لم یصدر منه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تثبت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لکننا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نحرز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بخبر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الواحد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منه حیث انه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حین نزول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لکنه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منه قبل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نزولها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لأجل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امور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کعدم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تهیؤ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القوم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لقبول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 ورد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فکما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النبی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(صلی الله علیه و آله) لا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ینهی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شرب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الخمر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مثلا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بدایة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دعوته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لعدم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الناس من قبول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فکذلک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نحن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نحتمل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النبی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(صلی الله علیه و آله)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لعدم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ذلک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احتمال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نتیقن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استصحابها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نزول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ارکان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الاستصحاب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هو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الیقین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السابق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اللاحق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یتم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>.</w:t>
      </w:r>
    </w:p>
    <w:p w14:paraId="7CCC85E7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4D39E53B" w14:textId="440E023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اولا: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بمقالة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للزم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فیما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بیان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أحرزنا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متمکنا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بیان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ذلک لم یرد منه ما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التخصیص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فحینئذ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لکننا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نحتمل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نشک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هل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القاء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او لا؟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احتمال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تثبت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أصالة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فلایجوز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الاخذ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بها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التقدیر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قلت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لایصح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قیاس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="009A1CC7">
        <w:rPr>
          <w:rFonts w:ascii="Calibri" w:hAnsi="Calibri" w:cs="2  Badr" w:hint="cs"/>
          <w:sz w:val="36"/>
          <w:szCs w:val="36"/>
          <w:rtl/>
        </w:rPr>
        <w:t>واقع</w:t>
      </w:r>
      <w:r w:rsidRPr="00DC6EC0">
        <w:rPr>
          <w:rFonts w:ascii="Calibri" w:hAnsi="Calibri" w:cs="2  Badr" w:hint="cs"/>
          <w:sz w:val="36"/>
          <w:szCs w:val="36"/>
          <w:rtl/>
        </w:rPr>
        <w:t>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 دام لم یصل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خاص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ثابتة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لو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بیان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بخلاف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لأن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فقلنا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بیان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اول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نقول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بعدم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الفرق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بین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فکما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احتملنا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فکذلک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احتملنا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القاء الدلیل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اذا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واقعا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احتمال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بیان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فلابد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الالتزام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واقعا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احتمال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اذ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لا فرق بین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r w:rsidR="009A1CC7">
        <w:rPr>
          <w:rFonts w:ascii="Calibri" w:hAnsi="Calibri" w:cs="2  Badr" w:hint="cs"/>
          <w:sz w:val="36"/>
          <w:szCs w:val="36"/>
          <w:rtl/>
        </w:rPr>
        <w:t xml:space="preserve">اذا </w:t>
      </w:r>
      <w:proofErr w:type="spellStart"/>
      <w:r w:rsidR="009A1CC7">
        <w:rPr>
          <w:rFonts w:ascii="Calibri" w:hAnsi="Calibri" w:cs="2  Badr" w:hint="cs"/>
          <w:sz w:val="36"/>
          <w:szCs w:val="36"/>
          <w:rtl/>
        </w:rPr>
        <w:t>التزمنا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لو فی ظرف احتمال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فیندفع</w:t>
      </w:r>
      <w:proofErr w:type="spellEnd"/>
      <w:r w:rsidR="009A1CC7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="009A1CC7">
        <w:rPr>
          <w:rFonts w:ascii="Calibri" w:hAnsi="Calibri" w:cs="2  Badr" w:hint="cs"/>
          <w:sz w:val="36"/>
          <w:szCs w:val="36"/>
          <w:rtl/>
        </w:rPr>
        <w:t>حینئذ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اورده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الآخوند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حیث قال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محرزة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حتی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استصحابها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نقول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بانکم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اعترفتم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="009A1CC7">
        <w:rPr>
          <w:rFonts w:ascii="Calibri" w:hAnsi="Calibri" w:cs="2  Badr" w:hint="cs"/>
          <w:sz w:val="36"/>
          <w:szCs w:val="36"/>
          <w:rtl/>
        </w:rPr>
        <w:t>واقعا</w:t>
      </w:r>
      <w:proofErr w:type="spellEnd"/>
      <w:r w:rsidR="009A1CC7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نستصحبها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قلت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لاتقاس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تزیل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بنحو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الحقیقی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بمعنی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ثابتة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لو فی ظرف وجود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فالشک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وجود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شکا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اصل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لذا نحن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نقطع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حتی جاز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استصحابها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الوجه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فیه ظاهر و هو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شکا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اصل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لایجری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الاستصحاب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لعدم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القطع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ظرف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ثبوتها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بخلاف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تزیل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القاء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بنحو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مثلا اذا ورد عام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یوم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السبت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هو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«اکرم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العلماء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»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هو «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لاتکرم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الفاسق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العلماء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» قد وصل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یوم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الاربعاء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الواصل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یوم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الاربعاء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یقلع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یوم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السبت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یقلع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ذلک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لا اصل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یعنی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یوم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الاربعاء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بعدم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یوم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السبت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ظرفه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یوم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الاربعاء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بعدم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یوم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السبت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بخلاف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ظرفه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الرادع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الظرف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="009A1CC7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الرادع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ظرفه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کشفا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حقیقیا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فقلنا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لا وجه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للفرق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بین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حیث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تزیل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ثبوت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بنحو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مثلا اذا قامت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خبر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الواحد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عنها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یصدر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(علیه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) بعد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ثلاث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سنوات فیکون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بمنزلة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السهم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الذی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یرمی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السنوات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فبعد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ثبوت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صارت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غیر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معتبرة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السنین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لا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معتبرة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حتی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السنین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اعتبارها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السنین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لکن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بقاء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اعتبارها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السنین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بخلاف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الحقیقی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یثبت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ظرفه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حقیقیا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لکننا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توهمنا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ثبوت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ظرفه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الواصل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یزول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الامس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یجوز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استصحاب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حیث انا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قطعنا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بثبوت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ظرفه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لکننا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نشک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بزوال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الامس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مثلا او لا؟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فنتسصحب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ثبوتها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ظرفه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ثابت قطعا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لکننا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نشک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بزوال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حکمه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الامس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او لا؟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فنستصحب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المتیقن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ثبوته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ظرفه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کحجیة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لا فرق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بینهما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>.</w:t>
      </w:r>
    </w:p>
    <w:p w14:paraId="411BDB14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نعم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ثبوت مفاد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واقعا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کشفا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حقیقیا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کما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الرادع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ثبوت مفاد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واقعا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کشفا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حقیقیا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مثلا: اذا قال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اکرم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العلماء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انه قال فی خطاب آخر: لا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تکرم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الفاسق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منهم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فنحن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نواجه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امرین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</w:t>
      </w:r>
    </w:p>
    <w:p w14:paraId="64B07584" w14:textId="3AAF38B0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 w:hint="cs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واقعا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ظرفه</w:t>
      </w:r>
      <w:r w:rsidR="00BB08A5">
        <w:rPr>
          <w:rFonts w:ascii="Calibri" w:hAnsi="Calibri" w:cs="2  Badr" w:hint="cs"/>
          <w:sz w:val="36"/>
          <w:szCs w:val="36"/>
          <w:rtl/>
        </w:rPr>
        <w:t>ا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 و لو بعد وصول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حقیقة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ظرفه</w:t>
      </w:r>
      <w:r w:rsidR="00BB08A5">
        <w:rPr>
          <w:rFonts w:ascii="Calibri" w:hAnsi="Calibri" w:cs="2  Badr" w:hint="cs"/>
          <w:sz w:val="36"/>
          <w:szCs w:val="36"/>
          <w:rtl/>
        </w:rPr>
        <w:t>ا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 بل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الامس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تبق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الیوم</w:t>
      </w:r>
      <w:proofErr w:type="spellEnd"/>
      <w:r w:rsidR="00BB08A5">
        <w:rPr>
          <w:rFonts w:ascii="Calibri" w:hAnsi="Calibri" w:cs="2  Badr"/>
          <w:sz w:val="36"/>
          <w:szCs w:val="36"/>
        </w:rPr>
        <w:t xml:space="preserve"> </w:t>
      </w:r>
      <w:r w:rsidR="00BB08A5">
        <w:rPr>
          <w:rFonts w:ascii="Calibri" w:hAnsi="Calibri" w:cs="2  Badr" w:hint="cs"/>
          <w:sz w:val="36"/>
          <w:szCs w:val="36"/>
          <w:rtl/>
        </w:rPr>
        <w:t xml:space="preserve">یعنی ان </w:t>
      </w:r>
      <w:proofErr w:type="spellStart"/>
      <w:r w:rsidR="00BB08A5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="00BB08A5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="00BB08A5">
        <w:rPr>
          <w:rFonts w:ascii="Calibri" w:hAnsi="Calibri" w:cs="2  Badr" w:hint="cs"/>
          <w:sz w:val="36"/>
          <w:szCs w:val="36"/>
          <w:rtl/>
        </w:rPr>
        <w:t>یحکم</w:t>
      </w:r>
      <w:proofErr w:type="spellEnd"/>
      <w:r w:rsidR="00BB08A5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="00BB08A5">
        <w:rPr>
          <w:rFonts w:ascii="Calibri" w:hAnsi="Calibri" w:cs="2  Badr" w:hint="cs"/>
          <w:sz w:val="36"/>
          <w:szCs w:val="36"/>
          <w:rtl/>
        </w:rPr>
        <w:t>بعدم</w:t>
      </w:r>
      <w:proofErr w:type="spellEnd"/>
      <w:r w:rsidR="00BB08A5">
        <w:rPr>
          <w:rFonts w:ascii="Calibri" w:hAnsi="Calibri" w:cs="2  Badr" w:hint="cs"/>
          <w:sz w:val="36"/>
          <w:szCs w:val="36"/>
          <w:rtl/>
        </w:rPr>
        <w:t xml:space="preserve"> بقاء </w:t>
      </w:r>
      <w:proofErr w:type="spellStart"/>
      <w:r w:rsidR="00BB08A5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="00BB08A5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="00BB08A5">
        <w:rPr>
          <w:rFonts w:ascii="Calibri" w:hAnsi="Calibri" w:cs="2  Badr" w:hint="cs"/>
          <w:sz w:val="36"/>
          <w:szCs w:val="36"/>
          <w:rtl/>
        </w:rPr>
        <w:t>أصالة</w:t>
      </w:r>
      <w:proofErr w:type="spellEnd"/>
      <w:r w:rsidR="00BB08A5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="00BB08A5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="00BB08A5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="00BB08A5">
        <w:rPr>
          <w:rFonts w:ascii="Calibri" w:hAnsi="Calibri" w:cs="2  Badr" w:hint="cs"/>
          <w:sz w:val="36"/>
          <w:szCs w:val="36"/>
          <w:rtl/>
        </w:rPr>
        <w:t>الأمس</w:t>
      </w:r>
      <w:proofErr w:type="spellEnd"/>
      <w:r w:rsidR="00BB08A5">
        <w:rPr>
          <w:rFonts w:ascii="Calibri" w:hAnsi="Calibri" w:cs="2  Badr" w:hint="cs"/>
          <w:sz w:val="36"/>
          <w:szCs w:val="36"/>
          <w:rtl/>
        </w:rPr>
        <w:t xml:space="preserve"> الی </w:t>
      </w:r>
      <w:proofErr w:type="spellStart"/>
      <w:r w:rsidR="00BB08A5">
        <w:rPr>
          <w:rFonts w:ascii="Calibri" w:hAnsi="Calibri" w:cs="2  Badr" w:hint="cs"/>
          <w:sz w:val="36"/>
          <w:szCs w:val="36"/>
          <w:rtl/>
        </w:rPr>
        <w:t>الیوم</w:t>
      </w:r>
      <w:proofErr w:type="spellEnd"/>
      <w:r w:rsidR="00BB08A5">
        <w:rPr>
          <w:rFonts w:ascii="Calibri" w:hAnsi="Calibri" w:cs="2  Badr" w:hint="cs"/>
          <w:sz w:val="36"/>
          <w:szCs w:val="36"/>
          <w:rtl/>
        </w:rPr>
        <w:t xml:space="preserve"> من بدو بیان الدلیل </w:t>
      </w:r>
      <w:proofErr w:type="spellStart"/>
      <w:r w:rsidR="00BB08A5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="00BB08A5">
        <w:rPr>
          <w:rFonts w:ascii="Calibri" w:hAnsi="Calibri" w:cs="2  Badr" w:hint="cs"/>
          <w:sz w:val="36"/>
          <w:szCs w:val="36"/>
          <w:rtl/>
        </w:rPr>
        <w:t>.</w:t>
      </w:r>
    </w:p>
    <w:p w14:paraId="60992E54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ذات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ثبوت ذات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کشفا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حقیقیا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مثلا اذا قال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اکرم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العلماء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قال لا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تکرم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الفساق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منهم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واقعا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ضیق من بدو القاء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لا انه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یضیق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القاء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هکذا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الرادع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ظرفها بل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عدم بقاء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ظرفها من زمان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هکذا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ان مفاد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ثابتة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حتی فی فرض قیام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مثلا اذا قامت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بخبر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الواحد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عنها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مضی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ثلاث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سنوات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السنوات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تبق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بدو القاء الدلیل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الرادع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ظرفها بل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عدم بقاء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ظرفها الی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هکذا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خبر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الواحد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واقعا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السنوات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کشفا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حقیقیا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البیان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یظهر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الفرق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بین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اصالة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>.</w:t>
      </w:r>
    </w:p>
    <w:p w14:paraId="6F934380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ثانیا: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موافق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ذکرناه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حیث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اننا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نقول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بانه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یسکت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بیان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الواقعی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مورد قامت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الخلاف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لأجل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مصلحة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المصالح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نقول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بانه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الامضاء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انما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الامضاء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فیما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أحرزنا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منه لم یصدر منه ما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لکننا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نحتمل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(علیه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)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لأجل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مصلحة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المصالح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کشف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الامضاء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ردعه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نحتمل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عدة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الاحکام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مودوعة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عجل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الله فرجه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الشریف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)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نحتمل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ارواحنا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الفداء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)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بعض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المخالفة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الشریعة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زمان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حضوره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الائمة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علیهم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)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یتمکنوا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ردعها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لأجل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مصلحة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المصالح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الاحتمال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موجود و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نحتمل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بعض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انما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لأجل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(علیه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)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الاحتمال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یکشف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الامضاء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اعترف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المقام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بما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به فی مبحث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لذا لابد له من انکار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لایلتزم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بذلک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مضافا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اننا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نناقش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بوجه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آخر ایضا و هو انا لو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افترضنا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قادر علیه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لکنه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لایجب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علیه بیان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الواقعی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فیما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خالف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العباد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الحکم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الواقعی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بمنظر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(علیه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)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مرئاه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اذ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لا دلیل علی وجوب بیان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الاحکام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الواقعیة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الائمة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علیهم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بل الدلیل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یساعد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خلاف ذلک حیث انه قد ورد منهم ما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ان علیکم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السؤال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لکن لیس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علینا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الجواب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بل نحن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الائمة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علیهم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)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شئنا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اجبنا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شئنا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نجب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>.</w:t>
      </w:r>
    </w:p>
    <w:p w14:paraId="7F91706B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r w:rsidRPr="00DC6EC0">
        <w:rPr>
          <w:rFonts w:ascii="Calibri" w:hAnsi="Calibri" w:cs="2  Badr"/>
          <w:b/>
          <w:bCs/>
          <w:color w:val="FF0000"/>
          <w:sz w:val="36"/>
          <w:szCs w:val="36"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الکلمة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الثانیة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الآخوند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قال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الهامش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نسبة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المتقدمة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عموم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نسبة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فکان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المورد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صغریات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دوران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بین نسخ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بالعام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بین تخصیص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المعلوم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تخصیص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متعین فی مثل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المورد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التخصیص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کثیر فی لسان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النسخ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قلیل جدا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لسانه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لذا نحن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نخصص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عموم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المتقدمة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یکون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قرینة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لسان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الذی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یصدر منه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التخصیص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کثیرا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قد رد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الاشکال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قال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اول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اذ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نحرز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الشارع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منه و لذا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بمنزلة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الخاص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اول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لاتکون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مخصصة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لعموم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لعدم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احراز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قد ظهر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ذکرناه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المناقشة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کلام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فلانعود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بیان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الاشکال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علیه.</w:t>
      </w:r>
    </w:p>
    <w:p w14:paraId="0992C0DF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ثم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الآخوند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ادعی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دوریا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فلایمنع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حیث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الواقعی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لایمنع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الواصل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یمنع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لذا ان احتمال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لیس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مانعا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مادام لم یصل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بالنسبة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الیها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ناقش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الایروانی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فی کلام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الآخوند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قال بان الدلیل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مادام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دلیل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 هو؟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فالدلیل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الوحید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مادام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دلیل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هی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حیث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قائمة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 دام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دلیل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عنها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نقول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دلیل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فلایتم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 افاده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الآخوند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حیث انه 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بصدد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اثبات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دعواه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طریق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الاستدلال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لاینفع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لاثبات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المطلوب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ما دام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یحرز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لیس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حتی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یستدل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بها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المطلوب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>.</w:t>
      </w:r>
    </w:p>
    <w:p w14:paraId="65817FC2" w14:textId="77777777" w:rsidR="00DC6EC0" w:rsidRDefault="00DC6EC0" w:rsidP="00DC6EC0">
      <w:pPr>
        <w:spacing w:after="160" w:line="259" w:lineRule="auto"/>
        <w:jc w:val="both"/>
        <w:rPr>
          <w:rFonts w:ascii="Calibri" w:hAnsi="Calibri" w:cs="2  Badr"/>
          <w:b/>
          <w:bCs/>
          <w:color w:val="FF0000"/>
          <w:sz w:val="36"/>
          <w:szCs w:val="36"/>
          <w:rtl/>
        </w:rPr>
      </w:pPr>
    </w:p>
    <w:p w14:paraId="5DFDD233" w14:textId="340F2186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b/>
          <w:bCs/>
          <w:color w:val="FF0000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النائینی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رادعیة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</w:p>
    <w:p w14:paraId="6D75C84A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r w:rsidRPr="00DC6EC0">
        <w:rPr>
          <w:rFonts w:ascii="Calibri" w:hAnsi="Calibri" w:cs="2  Badr" w:hint="cs"/>
          <w:sz w:val="36"/>
          <w:szCs w:val="36"/>
          <w:rtl/>
        </w:rPr>
        <w:t xml:space="preserve">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النائینی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ناقش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رادعیة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قال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انما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تمنع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اتباع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الظن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العقلاء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یعتبرون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خبر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الثقة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علما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لایرونه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ظنا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فلیس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اتباع خبر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الثقة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اتباعا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لغیر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العلم حتی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برادعیة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القائمة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به.</w:t>
      </w:r>
    </w:p>
    <w:p w14:paraId="5A91AFF3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النائینی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2217DADD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r w:rsidRPr="00DC6EC0">
        <w:rPr>
          <w:rFonts w:ascii="Calibri" w:hAnsi="Calibri" w:cs="2  Badr" w:hint="cs"/>
          <w:sz w:val="36"/>
          <w:szCs w:val="36"/>
          <w:rtl/>
        </w:rPr>
        <w:t xml:space="preserve">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الناهیة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اتباع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الظن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مطلقة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اطلاقها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یشمل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الظن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اعتبره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العقلاء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علما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فلاوجه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لإخراج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الظنون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التی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اعتبرها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العقلاء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علما بعد اطلاق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اللهم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الا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یقال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بمقالة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الایروانی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حیث انه قال بان الدلیل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القطعی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اذا دل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شیئ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فلایکون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اتباعه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اتباعا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للظن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یکون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اتباعه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اتباعا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للعلم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نحن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نعمل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بمقتضی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علمنا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قیام الدلیل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القطعی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شیئ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المحقق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الایروانی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و ان 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تاما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الا انه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یطبق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المقام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قطعیة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احتمال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رادعیة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تلک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فلیس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بخبر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الواحد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عملا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بالعلم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الدلیل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حجیته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هی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یمکن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تکون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مردوعة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مضافا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الی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احتمالا آخر فی کلام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المیرزا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النائینی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و هو ما مر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حیث انه قال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العقلاء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یرون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اطلاق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عمومها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منصرفة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مورد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سیرتهم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حیاتهم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لذا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العقلاء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یرون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عموم دلیل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الظن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لایغنی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الحق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شیئا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منصرفا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سیرتهم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بخبر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الواحد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نحن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ناقشنا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الکلام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الخوئی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(قدس سره) عن قریب و بینا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تمامیة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کلامه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فلانعود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ذکرها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>.</w:t>
      </w:r>
    </w:p>
    <w:p w14:paraId="7E1A7675" w14:textId="77777777" w:rsidR="00DC6EC0" w:rsidRDefault="00DC6EC0" w:rsidP="00DC6EC0">
      <w:pPr>
        <w:spacing w:after="160" w:line="259" w:lineRule="auto"/>
        <w:jc w:val="both"/>
        <w:rPr>
          <w:rFonts w:ascii="Calibri" w:hAnsi="Calibri" w:cs="2  Badr"/>
          <w:b/>
          <w:bCs/>
          <w:color w:val="FF0000"/>
          <w:sz w:val="36"/>
          <w:szCs w:val="36"/>
          <w:highlight w:val="yellow"/>
          <w:rtl/>
        </w:rPr>
      </w:pPr>
    </w:p>
    <w:p w14:paraId="0834251C" w14:textId="69D727B0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b/>
          <w:bCs/>
          <w:color w:val="FF0000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highlight w:val="yellow"/>
          <w:rtl/>
        </w:rPr>
        <w:t>القول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highlight w:val="yellow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highlight w:val="yellow"/>
          <w:rtl/>
        </w:rPr>
        <w:t>المختار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highlight w:val="yellow"/>
          <w:rtl/>
        </w:rPr>
        <w:t xml:space="preserve"> فی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highlight w:val="yellow"/>
          <w:rtl/>
        </w:rPr>
        <w:t>الاستدلال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highlight w:val="yellow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highlight w:val="yellow"/>
          <w:rtl/>
        </w:rPr>
        <w:t>بالسیرة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highlight w:val="yellow"/>
          <w:rtl/>
        </w:rPr>
        <w:t>:</w:t>
      </w:r>
    </w:p>
    <w:p w14:paraId="538047F6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r w:rsidRPr="00DC6EC0">
        <w:rPr>
          <w:rFonts w:ascii="Calibri" w:hAnsi="Calibri" w:cs="2  Badr" w:hint="cs"/>
          <w:sz w:val="36"/>
          <w:szCs w:val="36"/>
          <w:rtl/>
        </w:rPr>
        <w:t xml:space="preserve">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الاستدلال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خبر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الواحد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غیر تام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عندنا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لوجهین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: </w:t>
      </w:r>
    </w:p>
    <w:p w14:paraId="7B558952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  <w:rtl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قد مر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سابقا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تقم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قول مطلق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الثقة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لو کان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عامیا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منحرفا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لذا انا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نناقش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فی ثبوت اصل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قد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مرت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هذه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النقطة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مفصلا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>.</w:t>
      </w:r>
    </w:p>
    <w:p w14:paraId="1B8210A4" w14:textId="77777777" w:rsidR="00DC6EC0" w:rsidRPr="00DC6EC0" w:rsidRDefault="00DC6EC0" w:rsidP="00DC6EC0">
      <w:pPr>
        <w:spacing w:after="160" w:line="259" w:lineRule="auto"/>
        <w:jc w:val="both"/>
        <w:rPr>
          <w:rFonts w:ascii="Calibri" w:hAnsi="Calibri" w:cs="2  Badr"/>
          <w:sz w:val="36"/>
          <w:szCs w:val="36"/>
        </w:rPr>
      </w:pP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DC6EC0">
        <w:rPr>
          <w:rFonts w:ascii="Calibri" w:hAnsi="Calibri" w:cs="2  Badr" w:hint="cs"/>
          <w:b/>
          <w:bCs/>
          <w:color w:val="FF0000"/>
          <w:sz w:val="36"/>
          <w:szCs w:val="36"/>
          <w:rtl/>
        </w:rPr>
        <w:t>:</w:t>
      </w:r>
      <w:r w:rsidRPr="00DC6EC0">
        <w:rPr>
          <w:rFonts w:ascii="Calibri" w:hAnsi="Calibri" w:cs="2  Badr" w:hint="cs"/>
          <w:color w:val="FF0000"/>
          <w:sz w:val="36"/>
          <w:szCs w:val="36"/>
          <w:rtl/>
        </w:rPr>
        <w:t xml:space="preserve"> </w:t>
      </w:r>
      <w:r w:rsidRPr="00DC6EC0">
        <w:rPr>
          <w:rFonts w:ascii="Calibri" w:hAnsi="Calibri" w:cs="2  Badr" w:hint="cs"/>
          <w:sz w:val="36"/>
          <w:szCs w:val="36"/>
          <w:rtl/>
        </w:rPr>
        <w:t xml:space="preserve">لو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سلمنا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قلنا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بقیام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العمل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بقول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مطلق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الثقة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لکنها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تکن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لان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متوقفة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إحراز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الامضاء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مع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ان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الامضاء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لم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یحرز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بعد وجود احتمال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الردع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بالآیات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الناهیة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عن اتباع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الظن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و من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هنا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یظهر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عدم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تمامیة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الاستدلال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بالسیرة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علی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حجیة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 قول مطلق </w:t>
      </w:r>
      <w:proofErr w:type="spellStart"/>
      <w:r w:rsidRPr="00DC6EC0">
        <w:rPr>
          <w:rFonts w:ascii="Calibri" w:hAnsi="Calibri" w:cs="2  Badr" w:hint="cs"/>
          <w:sz w:val="36"/>
          <w:szCs w:val="36"/>
          <w:rtl/>
        </w:rPr>
        <w:t>الثقة</w:t>
      </w:r>
      <w:proofErr w:type="spellEnd"/>
      <w:r w:rsidRPr="00DC6EC0">
        <w:rPr>
          <w:rFonts w:ascii="Calibri" w:hAnsi="Calibri" w:cs="2  Badr" w:hint="cs"/>
          <w:sz w:val="36"/>
          <w:szCs w:val="36"/>
          <w:rtl/>
        </w:rPr>
        <w:t xml:space="preserve">. </w:t>
      </w:r>
    </w:p>
    <w:p w14:paraId="7B78E5E0" w14:textId="77777777" w:rsidR="002A51A0" w:rsidRDefault="002A51A0" w:rsidP="0020241A">
      <w:pPr>
        <w:rPr>
          <w:rtl/>
        </w:rPr>
      </w:pPr>
    </w:p>
    <w:p w14:paraId="6817AA99" w14:textId="77777777" w:rsidR="002A51A0" w:rsidRDefault="002A51A0" w:rsidP="0020241A">
      <w:pPr>
        <w:rPr>
          <w:rtl/>
        </w:rPr>
      </w:pPr>
      <w:bookmarkStart w:id="4" w:name="StartCurserPos"/>
    </w:p>
    <w:bookmarkEnd w:id="4"/>
    <w:p w14:paraId="6EF8A2E5" w14:textId="77777777" w:rsidR="003E194D" w:rsidRDefault="003E194D" w:rsidP="0020241A">
      <w:pPr>
        <w:rPr>
          <w:rtl/>
        </w:rPr>
      </w:pPr>
    </w:p>
    <w:p w14:paraId="538E19EF" w14:textId="77777777" w:rsidR="00CE1572" w:rsidRPr="00CE1572" w:rsidRDefault="00CE1572" w:rsidP="00CE1572">
      <w:pPr>
        <w:rPr>
          <w:rtl/>
        </w:rPr>
      </w:pPr>
    </w:p>
    <w:p w14:paraId="0D85D1A6" w14:textId="77777777" w:rsidR="00B27399" w:rsidRDefault="00B27399" w:rsidP="0020241A">
      <w:pPr>
        <w:rPr>
          <w:rtl/>
        </w:rPr>
      </w:pPr>
    </w:p>
    <w:p w14:paraId="61C88F64" w14:textId="77777777" w:rsidR="000E17AF" w:rsidRDefault="000E17AF" w:rsidP="0020241A">
      <w:pPr>
        <w:rPr>
          <w:rFonts w:ascii="Cambria" w:eastAsia="Times New Roman" w:hAnsi="Cambria" w:cs="B Titr"/>
          <w:b/>
          <w:color w:val="0000FF"/>
          <w:kern w:val="32"/>
          <w:sz w:val="32"/>
          <w:szCs w:val="32"/>
          <w:rtl/>
        </w:rPr>
      </w:pPr>
    </w:p>
    <w:p w14:paraId="6631D11C" w14:textId="77777777" w:rsidR="00B27399" w:rsidRDefault="00B27399" w:rsidP="0020241A">
      <w:pPr>
        <w:rPr>
          <w:rtl/>
        </w:rPr>
      </w:pPr>
    </w:p>
    <w:p w14:paraId="202FFA96" w14:textId="77777777" w:rsidR="000E17AF" w:rsidRDefault="000E17AF" w:rsidP="0020241A">
      <w:pPr>
        <w:rPr>
          <w:rtl/>
        </w:rPr>
      </w:pPr>
    </w:p>
    <w:p w14:paraId="6BAD170B" w14:textId="77777777" w:rsidR="009703F2" w:rsidRDefault="009703F2" w:rsidP="0020241A">
      <w:pPr>
        <w:rPr>
          <w:rtl/>
        </w:rPr>
      </w:pPr>
    </w:p>
    <w:p w14:paraId="6A59F6EE" w14:textId="77777777" w:rsidR="009703F2" w:rsidRDefault="009703F2" w:rsidP="0020241A"/>
    <w:p w14:paraId="18630512" w14:textId="77777777" w:rsidR="00234F8B" w:rsidRDefault="00234F8B" w:rsidP="0020241A"/>
    <w:p w14:paraId="29C639A4" w14:textId="77777777" w:rsidR="00EC2D8D" w:rsidRDefault="00EC2D8D" w:rsidP="0020241A"/>
    <w:p w14:paraId="349E0199" w14:textId="77777777" w:rsidR="001A1EA5" w:rsidRPr="006162A2" w:rsidRDefault="001A1EA5" w:rsidP="006162A2">
      <w:pPr>
        <w:rPr>
          <w:rtl/>
        </w:rPr>
      </w:pPr>
    </w:p>
    <w:sectPr w:rsidR="001A1EA5" w:rsidRPr="006162A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010C" w14:textId="77777777" w:rsidR="002A56D4" w:rsidRDefault="002A56D4" w:rsidP="008B750B">
      <w:pPr>
        <w:spacing w:line="240" w:lineRule="auto"/>
      </w:pPr>
      <w:r>
        <w:separator/>
      </w:r>
    </w:p>
  </w:endnote>
  <w:endnote w:type="continuationSeparator" w:id="0">
    <w:p w14:paraId="6C86F7D1" w14:textId="77777777" w:rsidR="002A56D4" w:rsidRDefault="002A56D4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16DF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7CDF63AE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653A55F7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00CAC9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7043A1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21001581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480D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C1DF" w14:textId="77777777" w:rsidR="002A56D4" w:rsidRDefault="002A56D4" w:rsidP="008B750B">
      <w:pPr>
        <w:spacing w:line="240" w:lineRule="auto"/>
      </w:pPr>
      <w:r>
        <w:separator/>
      </w:r>
    </w:p>
  </w:footnote>
  <w:footnote w:type="continuationSeparator" w:id="0">
    <w:p w14:paraId="44E847E4" w14:textId="77777777" w:rsidR="002A56D4" w:rsidRDefault="002A56D4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90AE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CA0D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2538B9">
      <w:rPr>
        <w:sz w:val="20"/>
        <w:szCs w:val="24"/>
        <w:rtl/>
      </w:rPr>
      <w:t>879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2538B9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r w:rsidR="002538B9">
      <w:rPr>
        <w:color w:val="632423" w:themeColor="accent2" w:themeShade="80"/>
        <w:sz w:val="20"/>
        <w:szCs w:val="24"/>
        <w:rtl/>
      </w:rPr>
      <w:t>آ</w:t>
    </w:r>
    <w:r w:rsidR="002538B9">
      <w:rPr>
        <w:rFonts w:hint="cs"/>
        <w:color w:val="632423" w:themeColor="accent2" w:themeShade="80"/>
        <w:sz w:val="20"/>
        <w:szCs w:val="24"/>
        <w:rtl/>
      </w:rPr>
      <w:t>ی</w:t>
    </w:r>
    <w:r w:rsidR="002538B9">
      <w:rPr>
        <w:rFonts w:hint="eastAsia"/>
        <w:color w:val="632423" w:themeColor="accent2" w:themeShade="80"/>
        <w:sz w:val="20"/>
        <w:szCs w:val="24"/>
        <w:rtl/>
      </w:rPr>
      <w:t>ت</w:t>
    </w:r>
    <w:r w:rsidR="002538B9">
      <w:rPr>
        <w:color w:val="632423" w:themeColor="accent2" w:themeShade="80"/>
        <w:sz w:val="20"/>
        <w:szCs w:val="24"/>
        <w:rtl/>
      </w:rPr>
      <w:t xml:space="preserve"> الله </w:t>
    </w:r>
    <w:proofErr w:type="spellStart"/>
    <w:r w:rsidR="002538B9">
      <w:rPr>
        <w:color w:val="632423" w:themeColor="accent2" w:themeShade="80"/>
        <w:sz w:val="20"/>
        <w:szCs w:val="24"/>
        <w:rtl/>
      </w:rPr>
      <w:t>الاستاذ</w:t>
    </w:r>
    <w:proofErr w:type="spellEnd"/>
    <w:r w:rsidR="002538B9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2538B9">
      <w:rPr>
        <w:color w:val="632423" w:themeColor="accent2" w:themeShade="80"/>
        <w:sz w:val="20"/>
        <w:szCs w:val="24"/>
        <w:rtl/>
      </w:rPr>
      <w:t>الاحمد</w:t>
    </w:r>
    <w:r w:rsidR="002538B9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2538B9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2538B9">
      <w:rPr>
        <w:color w:val="632423" w:themeColor="accent2" w:themeShade="80"/>
        <w:sz w:val="20"/>
        <w:szCs w:val="24"/>
        <w:rtl/>
      </w:rPr>
      <w:t>الشاهرود</w:t>
    </w:r>
    <w:r w:rsidR="002538B9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2538B9">
      <w:rPr>
        <w:color w:val="632423" w:themeColor="accent2" w:themeShade="80"/>
        <w:sz w:val="20"/>
        <w:szCs w:val="24"/>
        <w:rtl/>
      </w:rPr>
      <w:t xml:space="preserve"> (دام </w:t>
    </w:r>
    <w:proofErr w:type="spellStart"/>
    <w:r w:rsidR="002538B9">
      <w:rPr>
        <w:color w:val="632423" w:themeColor="accent2" w:themeShade="80"/>
        <w:sz w:val="20"/>
        <w:szCs w:val="24"/>
        <w:rtl/>
      </w:rPr>
      <w:t>ظله</w:t>
    </w:r>
    <w:proofErr w:type="spellEnd"/>
    <w:r w:rsidR="002538B9">
      <w:rPr>
        <w:color w:val="632423" w:themeColor="accent2" w:themeShade="80"/>
        <w:sz w:val="20"/>
        <w:szCs w:val="24"/>
        <w:rtl/>
      </w:rPr>
      <w:t>)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2538B9">
      <w:rPr>
        <w:sz w:val="24"/>
        <w:szCs w:val="24"/>
        <w:rtl/>
      </w:rPr>
      <w:t>21/10/1401 - چهارشنبه</w:t>
    </w:r>
  </w:p>
  <w:p w14:paraId="37D72D5C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2538B9">
      <w:rPr>
        <w:sz w:val="24"/>
        <w:szCs w:val="24"/>
        <w:rtl/>
      </w:rPr>
      <w:t>عل</w:t>
    </w:r>
    <w:r w:rsidR="002538B9">
      <w:rPr>
        <w:rFonts w:hint="cs"/>
        <w:sz w:val="24"/>
        <w:szCs w:val="24"/>
        <w:rtl/>
      </w:rPr>
      <w:t>ی</w:t>
    </w:r>
    <w:proofErr w:type="spellEnd"/>
    <w:r w:rsidR="002538B9">
      <w:rPr>
        <w:sz w:val="24"/>
        <w:szCs w:val="24"/>
        <w:rtl/>
      </w:rPr>
      <w:t xml:space="preserve"> کلاگر</w:t>
    </w:r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54F3E76E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2538B9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2538B9">
      <w:rPr>
        <w:sz w:val="24"/>
        <w:szCs w:val="24"/>
        <w:rtl/>
      </w:rPr>
      <w:t>حج</w:t>
    </w:r>
    <w:r w:rsidR="002538B9">
      <w:rPr>
        <w:rFonts w:hint="cs"/>
        <w:sz w:val="24"/>
        <w:szCs w:val="24"/>
        <w:rtl/>
      </w:rPr>
      <w:t>ی</w:t>
    </w:r>
    <w:r w:rsidR="002538B9">
      <w:rPr>
        <w:rFonts w:hint="eastAsia"/>
        <w:sz w:val="24"/>
        <w:szCs w:val="24"/>
        <w:rtl/>
      </w:rPr>
      <w:t>ة</w:t>
    </w:r>
    <w:proofErr w:type="spellEnd"/>
    <w:r w:rsidR="002538B9">
      <w:rPr>
        <w:sz w:val="24"/>
        <w:szCs w:val="24"/>
        <w:rtl/>
      </w:rPr>
      <w:t xml:space="preserve"> خبر </w:t>
    </w:r>
    <w:proofErr w:type="spellStart"/>
    <w:r w:rsidR="002538B9">
      <w:rPr>
        <w:sz w:val="24"/>
        <w:szCs w:val="24"/>
        <w:rtl/>
      </w:rPr>
      <w:t>الواحد</w:t>
    </w:r>
    <w:proofErr w:type="spellEnd"/>
    <w:r w:rsidR="002538B9">
      <w:rPr>
        <w:sz w:val="24"/>
        <w:szCs w:val="24"/>
        <w:rtl/>
      </w:rPr>
      <w:t xml:space="preserve"> </w:t>
    </w:r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2538B9">
      <w:rPr>
        <w:sz w:val="24"/>
        <w:szCs w:val="24"/>
        <w:rtl/>
      </w:rPr>
      <w:t>ادلة</w:t>
    </w:r>
    <w:proofErr w:type="spellEnd"/>
    <w:r w:rsidR="002538B9">
      <w:rPr>
        <w:sz w:val="24"/>
        <w:szCs w:val="24"/>
        <w:rtl/>
      </w:rPr>
      <w:t xml:space="preserve"> </w:t>
    </w:r>
    <w:proofErr w:type="spellStart"/>
    <w:r w:rsidR="002538B9">
      <w:rPr>
        <w:sz w:val="24"/>
        <w:szCs w:val="24"/>
        <w:rtl/>
      </w:rPr>
      <w:t>القائل</w:t>
    </w:r>
    <w:r w:rsidR="002538B9">
      <w:rPr>
        <w:rFonts w:hint="cs"/>
        <w:sz w:val="24"/>
        <w:szCs w:val="24"/>
        <w:rtl/>
      </w:rPr>
      <w:t>ی</w:t>
    </w:r>
    <w:r w:rsidR="002538B9">
      <w:rPr>
        <w:rFonts w:hint="eastAsia"/>
        <w:sz w:val="24"/>
        <w:szCs w:val="24"/>
        <w:rtl/>
      </w:rPr>
      <w:t>ن</w:t>
    </w:r>
    <w:proofErr w:type="spellEnd"/>
    <w:r w:rsidR="002538B9">
      <w:rPr>
        <w:sz w:val="24"/>
        <w:szCs w:val="24"/>
        <w:rtl/>
      </w:rPr>
      <w:t xml:space="preserve"> </w:t>
    </w:r>
    <w:proofErr w:type="spellStart"/>
    <w:r w:rsidR="002538B9">
      <w:rPr>
        <w:sz w:val="24"/>
        <w:szCs w:val="24"/>
        <w:rtl/>
      </w:rPr>
      <w:t>بحج</w:t>
    </w:r>
    <w:r w:rsidR="002538B9">
      <w:rPr>
        <w:rFonts w:hint="cs"/>
        <w:sz w:val="24"/>
        <w:szCs w:val="24"/>
        <w:rtl/>
      </w:rPr>
      <w:t>ی</w:t>
    </w:r>
    <w:r w:rsidR="002538B9">
      <w:rPr>
        <w:rFonts w:hint="eastAsia"/>
        <w:sz w:val="24"/>
        <w:szCs w:val="24"/>
        <w:rtl/>
      </w:rPr>
      <w:t>ة</w:t>
    </w:r>
    <w:proofErr w:type="spellEnd"/>
    <w:r w:rsidR="002538B9">
      <w:rPr>
        <w:sz w:val="24"/>
        <w:szCs w:val="24"/>
        <w:rtl/>
      </w:rPr>
      <w:t xml:space="preserve"> خبر </w:t>
    </w:r>
    <w:proofErr w:type="spellStart"/>
    <w:r w:rsidR="002538B9">
      <w:rPr>
        <w:sz w:val="24"/>
        <w:szCs w:val="24"/>
        <w:rtl/>
      </w:rPr>
      <w:t>الواحد</w:t>
    </w:r>
    <w:proofErr w:type="spellEnd"/>
    <w:r w:rsidR="002538B9">
      <w:rPr>
        <w:sz w:val="24"/>
        <w:szCs w:val="24"/>
        <w:rtl/>
      </w:rPr>
      <w:t xml:space="preserve"> (</w:t>
    </w:r>
    <w:proofErr w:type="spellStart"/>
    <w:r w:rsidR="002538B9">
      <w:rPr>
        <w:sz w:val="24"/>
        <w:szCs w:val="24"/>
        <w:rtl/>
      </w:rPr>
      <w:t>الس</w:t>
    </w:r>
    <w:r w:rsidR="002538B9">
      <w:rPr>
        <w:rFonts w:hint="cs"/>
        <w:sz w:val="24"/>
        <w:szCs w:val="24"/>
        <w:rtl/>
      </w:rPr>
      <w:t>ی</w:t>
    </w:r>
    <w:r w:rsidR="002538B9">
      <w:rPr>
        <w:rFonts w:hint="eastAsia"/>
        <w:sz w:val="24"/>
        <w:szCs w:val="24"/>
        <w:rtl/>
      </w:rPr>
      <w:t>رة</w:t>
    </w:r>
    <w:proofErr w:type="spellEnd"/>
    <w:r w:rsidR="002538B9">
      <w:rPr>
        <w:sz w:val="24"/>
        <w:szCs w:val="24"/>
        <w:rtl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13CA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05483">
    <w:abstractNumId w:val="8"/>
  </w:num>
  <w:num w:numId="2" w16cid:durableId="850026072">
    <w:abstractNumId w:val="3"/>
  </w:num>
  <w:num w:numId="3" w16cid:durableId="1711614541">
    <w:abstractNumId w:val="2"/>
  </w:num>
  <w:num w:numId="4" w16cid:durableId="1706443160">
    <w:abstractNumId w:val="1"/>
  </w:num>
  <w:num w:numId="5" w16cid:durableId="485049093">
    <w:abstractNumId w:val="0"/>
  </w:num>
  <w:num w:numId="6" w16cid:durableId="1276447069">
    <w:abstractNumId w:val="9"/>
  </w:num>
  <w:num w:numId="7" w16cid:durableId="701594410">
    <w:abstractNumId w:val="7"/>
  </w:num>
  <w:num w:numId="8" w16cid:durableId="1799256858">
    <w:abstractNumId w:val="6"/>
  </w:num>
  <w:num w:numId="9" w16cid:durableId="681276245">
    <w:abstractNumId w:val="5"/>
  </w:num>
  <w:num w:numId="10" w16cid:durableId="1917090672">
    <w:abstractNumId w:val="4"/>
  </w:num>
  <w:num w:numId="11" w16cid:durableId="646711632">
    <w:abstractNumId w:val="10"/>
  </w:num>
  <w:num w:numId="12" w16cid:durableId="1322543094">
    <w:abstractNumId w:val="11"/>
  </w:num>
  <w:num w:numId="13" w16cid:durableId="1724981547">
    <w:abstractNumId w:val="14"/>
  </w:num>
  <w:num w:numId="14" w16cid:durableId="1920482766">
    <w:abstractNumId w:val="12"/>
  </w:num>
  <w:num w:numId="15" w16cid:durableId="179004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38B9"/>
    <w:rsid w:val="00254950"/>
    <w:rsid w:val="00256560"/>
    <w:rsid w:val="0027605E"/>
    <w:rsid w:val="00281E00"/>
    <w:rsid w:val="00294A52"/>
    <w:rsid w:val="002A3DEF"/>
    <w:rsid w:val="002A51A0"/>
    <w:rsid w:val="002A56D4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A1CC7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0C92"/>
    <w:rsid w:val="00B96F38"/>
    <w:rsid w:val="00BB08A5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C6EC0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30CB9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D794818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18</TotalTime>
  <Pages>9</Pages>
  <Words>1851</Words>
  <Characters>10555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12382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6</cp:revision>
  <cp:lastPrinted>2023-01-16T00:33:00Z</cp:lastPrinted>
  <dcterms:created xsi:type="dcterms:W3CDTF">2023-01-15T16:57:00Z</dcterms:created>
  <dcterms:modified xsi:type="dcterms:W3CDTF">2023-01-16T04:43:00Z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آیت الله الاستاذ الاحمدی الشاهرودی (دام ظله)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14011021</vt:lpwstr>
  </property>
  <property fmtid="{D5CDD505-2E9C-101B-9397-08002B2CF9AE}" pid="6" name="SpecialTopic">
    <vt:lpwstr>ادلة القائلین بحجیة خبر الواحد (السیرة)</vt:lpwstr>
  </property>
  <property fmtid="{D5CDD505-2E9C-101B-9397-08002B2CF9AE}" pid="7" name="PublicTopic">
    <vt:lpwstr>حجیة خبر الواحد </vt:lpwstr>
  </property>
  <property fmtid="{D5CDD505-2E9C-101B-9397-08002B2CF9AE}" pid="8" name="TotalTopic">
    <vt:lpwstr>الأمارات</vt:lpwstr>
  </property>
  <property fmtid="{D5CDD505-2E9C-101B-9397-08002B2CF9AE}" pid="9" name="taqrirNum">
    <vt:lpwstr>879</vt:lpwstr>
  </property>
  <property fmtid="{D5CDD505-2E9C-101B-9397-08002B2CF9AE}" pid="10" name="Day">
    <vt:lpwstr>چهارشنبه</vt:lpwstr>
  </property>
</Properties>
</file>